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1A" w:rsidRPr="00372A1A" w:rsidRDefault="00A6423B" w:rsidP="00A6423B">
      <w:pPr>
        <w:spacing w:after="0" w:line="30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372A1A" w:rsidRPr="00372A1A" w:rsidRDefault="00372A1A" w:rsidP="00A6423B">
      <w:pPr>
        <w:spacing w:after="0" w:line="307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qua,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trương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: chia,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sáp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VNPT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VinaPhone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suốt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gián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xử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thủ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tục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72A1A" w:rsidRPr="00372A1A" w:rsidRDefault="00372A1A" w:rsidP="00372A1A">
      <w:pPr>
        <w:spacing w:after="0" w:line="307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tiếp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:rsidR="00372A1A" w:rsidRPr="00372A1A" w:rsidRDefault="00372A1A" w:rsidP="00372A1A">
      <w:pPr>
        <w:numPr>
          <w:ilvl w:val="0"/>
          <w:numId w:val="1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72A1A" w:rsidRPr="00372A1A" w:rsidRDefault="00372A1A" w:rsidP="00372A1A">
      <w:pPr>
        <w:numPr>
          <w:ilvl w:val="0"/>
          <w:numId w:val="1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tái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Lưu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ý:</w:t>
      </w:r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rà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72A1A" w:rsidRPr="00372A1A" w:rsidRDefault="00372A1A" w:rsidP="00372A1A">
      <w:pPr>
        <w:numPr>
          <w:ilvl w:val="0"/>
          <w:numId w:val="2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numPr>
          <w:ilvl w:val="0"/>
          <w:numId w:val="2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372A1A" w:rsidRPr="00372A1A" w:rsidRDefault="00372A1A" w:rsidP="00372A1A">
      <w:pPr>
        <w:numPr>
          <w:ilvl w:val="0"/>
          <w:numId w:val="2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VNPT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VinaPhone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spacing w:after="0" w:line="307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Trao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cung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72A1A" w:rsidRPr="00372A1A" w:rsidRDefault="00372A1A" w:rsidP="00372A1A">
      <w:pPr>
        <w:numPr>
          <w:ilvl w:val="0"/>
          <w:numId w:val="3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VNPT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numPr>
          <w:ilvl w:val="0"/>
          <w:numId w:val="3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72A1A" w:rsidRPr="00372A1A" w:rsidRDefault="00372A1A" w:rsidP="00372A1A">
      <w:pPr>
        <w:numPr>
          <w:ilvl w:val="0"/>
          <w:numId w:val="3"/>
        </w:num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spacing w:after="0" w:line="307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thủ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tục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, VNPT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VinaPhone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72A1A" w:rsidRPr="00372A1A" w:rsidRDefault="00372A1A" w:rsidP="00372A1A">
      <w:pPr>
        <w:spacing w:after="0" w:line="307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2A1A">
        <w:rPr>
          <w:rFonts w:ascii="Segoe UI Symbol" w:eastAsia="Times New Roman" w:hAnsi="Segoe UI Symbol" w:cs="Segoe UI Symbol"/>
          <w:b/>
          <w:bCs/>
          <w:sz w:val="26"/>
          <w:szCs w:val="26"/>
        </w:rPr>
        <w:t>➤</w:t>
      </w:r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Cả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còn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đầy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</w:p>
    <w:p w:rsidR="00372A1A" w:rsidRPr="00372A1A" w:rsidRDefault="00372A1A" w:rsidP="00372A1A">
      <w:pPr>
        <w:spacing w:after="0" w:line="30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thay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372A1A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VNPT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VinaPhone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2A1A">
        <w:rPr>
          <w:rFonts w:ascii="Segoe UI Symbol" w:eastAsia="Times New Roman" w:hAnsi="Segoe UI Symbol" w:cs="Segoe UI Symbol"/>
          <w:b/>
          <w:bCs/>
          <w:sz w:val="26"/>
          <w:szCs w:val="26"/>
        </w:rPr>
        <w:t>➤</w:t>
      </w:r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còn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72A1A">
        <w:rPr>
          <w:rFonts w:ascii="Times New Roman" w:eastAsia="Times New Roman" w:hAnsi="Times New Roman" w:cs="Times New Roman"/>
          <w:sz w:val="26"/>
          <w:szCs w:val="26"/>
        </w:rPr>
        <w:br/>
        <w:t xml:space="preserve">VNPT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VinaPhone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thay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tin</w:t>
      </w:r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spacing w:after="0" w:line="307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2A1A">
        <w:rPr>
          <w:rFonts w:ascii="Segoe UI Symbol" w:eastAsia="Times New Roman" w:hAnsi="Segoe UI Symbol" w:cs="Segoe UI Symbol"/>
          <w:b/>
          <w:bCs/>
          <w:sz w:val="26"/>
          <w:szCs w:val="26"/>
        </w:rPr>
        <w:lastRenderedPageBreak/>
        <w:t>➤</w:t>
      </w:r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cứ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2A1A" w:rsidRPr="00372A1A" w:rsidRDefault="00372A1A" w:rsidP="00372A1A">
      <w:pPr>
        <w:spacing w:after="0" w:line="307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2A1A">
        <w:rPr>
          <w:rFonts w:ascii="Segoe UI Symbol" w:eastAsia="Times New Roman" w:hAnsi="Segoe UI Symbol" w:cs="Segoe UI Symbol"/>
          <w:b/>
          <w:bCs/>
          <w:sz w:val="26"/>
          <w:szCs w:val="26"/>
        </w:rPr>
        <w:t>➤</w:t>
      </w:r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tiếp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tục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</w:p>
    <w:p w:rsidR="00372A1A" w:rsidRPr="00372A1A" w:rsidRDefault="00372A1A" w:rsidP="00372A1A">
      <w:pPr>
        <w:spacing w:after="0" w:line="30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→ Hai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chấm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dứt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2A1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72A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6CC2" w:rsidRDefault="00A86CC2" w:rsidP="00372A1A">
      <w:pPr>
        <w:jc w:val="both"/>
      </w:pPr>
    </w:p>
    <w:sectPr w:rsidR="00A86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1E7B"/>
    <w:multiLevelType w:val="multilevel"/>
    <w:tmpl w:val="23C2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A44A7"/>
    <w:multiLevelType w:val="multilevel"/>
    <w:tmpl w:val="FE9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35AFA"/>
    <w:multiLevelType w:val="multilevel"/>
    <w:tmpl w:val="096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A"/>
    <w:rsid w:val="00372A1A"/>
    <w:rsid w:val="00A6423B"/>
    <w:rsid w:val="00A86CC2"/>
    <w:rsid w:val="00B4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BCA8"/>
  <w15:chartTrackingRefBased/>
  <w15:docId w15:val="{4710B15A-5236-4779-AD8A-B137D128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2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72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2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A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72A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2A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72A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Minh Tuyen</dc:creator>
  <cp:keywords/>
  <dc:description/>
  <cp:lastModifiedBy>Ngo Minh Tuyen</cp:lastModifiedBy>
  <cp:revision>5</cp:revision>
  <dcterms:created xsi:type="dcterms:W3CDTF">2025-06-16T09:52:00Z</dcterms:created>
  <dcterms:modified xsi:type="dcterms:W3CDTF">2025-06-16T10:07:00Z</dcterms:modified>
</cp:coreProperties>
</file>